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521FBC16"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3469A8">
        <w:rPr>
          <w:rFonts w:ascii="Arial" w:eastAsia="Times New Roman" w:hAnsi="Arial"/>
          <w:b/>
          <w:bCs/>
          <w:sz w:val="24"/>
          <w:szCs w:val="24"/>
        </w:rPr>
        <w:t>8</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745D1A" w:rsidRPr="46221458">
        <w:rPr>
          <w:rFonts w:ascii="Arial" w:eastAsia="Times New Roman" w:hAnsi="Arial"/>
          <w:b/>
          <w:bCs/>
          <w:sz w:val="24"/>
          <w:szCs w:val="24"/>
        </w:rPr>
        <w:t>4</w:t>
      </w:r>
      <w:r w:rsidR="00830E88">
        <w:rPr>
          <w:rFonts w:ascii="Arial" w:eastAsia="Times New Roman" w:hAnsi="Arial"/>
          <w:b/>
          <w:bCs/>
          <w:sz w:val="24"/>
          <w:szCs w:val="24"/>
        </w:rPr>
        <w:t>10048</w:t>
      </w:r>
    </w:p>
    <w:p w14:paraId="3CF0036C" w14:textId="360384D0" w:rsidR="00453B12" w:rsidRDefault="008745AD" w:rsidP="00453B12">
      <w:pPr>
        <w:widowControl w:val="0"/>
        <w:tabs>
          <w:tab w:val="right" w:pos="9639"/>
        </w:tabs>
        <w:spacing w:after="0"/>
        <w:rPr>
          <w:rFonts w:ascii="Arial" w:eastAsia="Times New Roman" w:hAnsi="Arial"/>
          <w:b/>
          <w:bCs/>
          <w:i/>
          <w:sz w:val="24"/>
          <w:szCs w:val="24"/>
        </w:rPr>
      </w:pPr>
      <w:r w:rsidRPr="008745AD">
        <w:rPr>
          <w:rFonts w:ascii="Arial" w:eastAsia="Times New Roman" w:hAnsi="Arial"/>
          <w:b/>
          <w:bCs/>
          <w:sz w:val="24"/>
          <w:szCs w:val="24"/>
        </w:rPr>
        <w:t xml:space="preserve">Orlando, USA, Nov 18th – </w:t>
      </w:r>
      <w:proofErr w:type="gramStart"/>
      <w:r w:rsidRPr="008745AD">
        <w:rPr>
          <w:rFonts w:ascii="Arial" w:eastAsia="Times New Roman" w:hAnsi="Arial"/>
          <w:b/>
          <w:bCs/>
          <w:sz w:val="24"/>
          <w:szCs w:val="24"/>
        </w:rPr>
        <w:t>22th</w:t>
      </w:r>
      <w:proofErr w:type="gramEnd"/>
      <w:r w:rsidRPr="008745AD">
        <w:rPr>
          <w:rFonts w:ascii="Arial" w:eastAsia="Times New Roman" w:hAnsi="Arial"/>
          <w:b/>
          <w:bCs/>
          <w:sz w:val="24"/>
          <w:szCs w:val="24"/>
        </w:rPr>
        <w:t>, 2024</w:t>
      </w:r>
      <w:r w:rsidR="00222121" w:rsidRPr="00222121">
        <w:rPr>
          <w:rFonts w:ascii="Arial" w:eastAsia="Times New Roman" w:hAnsi="Arial"/>
          <w:b/>
          <w:bCs/>
          <w:sz w:val="24"/>
          <w:szCs w:val="24"/>
        </w:rPr>
        <w:t xml:space="preserve">                                  </w:t>
      </w:r>
      <w:r w:rsidR="00E25DAD" w:rsidRPr="00E25DAD">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950AA92" w:rsidR="00453B12" w:rsidRPr="006D3016" w:rsidRDefault="00453B12" w:rsidP="51D44DD7">
      <w:pPr>
        <w:tabs>
          <w:tab w:val="left" w:pos="1985"/>
        </w:tabs>
        <w:spacing w:after="120"/>
        <w:rPr>
          <w:rFonts w:ascii="Arial" w:eastAsia="MS Mincho" w:hAnsi="Arial" w:cs="Arial"/>
          <w:b/>
          <w:bCs/>
          <w:sz w:val="24"/>
          <w:szCs w:val="24"/>
        </w:rPr>
      </w:pPr>
      <w:r w:rsidRPr="51D44DD7">
        <w:rPr>
          <w:rFonts w:ascii="Arial" w:eastAsia="MS Mincho" w:hAnsi="Arial" w:cs="Arial"/>
          <w:b/>
          <w:bCs/>
          <w:sz w:val="24"/>
          <w:szCs w:val="24"/>
        </w:rPr>
        <w:t>Agenda item:</w:t>
      </w:r>
      <w:r>
        <w:tab/>
      </w:r>
      <w:r w:rsidR="001F709D" w:rsidRPr="51D44DD7">
        <w:rPr>
          <w:rFonts w:ascii="Arial" w:eastAsia="MS Mincho" w:hAnsi="Arial" w:cs="Arial"/>
          <w:b/>
          <w:bCs/>
          <w:sz w:val="24"/>
          <w:szCs w:val="24"/>
        </w:rPr>
        <w:t>8.8.</w:t>
      </w:r>
      <w:r w:rsidR="764D28A8" w:rsidRPr="51D44DD7">
        <w:rPr>
          <w:rFonts w:ascii="Arial" w:eastAsia="MS Mincho" w:hAnsi="Arial" w:cs="Arial"/>
          <w:b/>
          <w:bCs/>
          <w:sz w:val="24"/>
          <w:szCs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722F21E9"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F46F53">
        <w:rPr>
          <w:rFonts w:ascii="Arial" w:eastAsia="Times New Roman" w:hAnsi="Arial" w:cs="Arial"/>
          <w:b/>
          <w:bCs/>
          <w:sz w:val="24"/>
        </w:rPr>
        <w:t>Discussion on cell DTX</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639D3027" w14:textId="79433AD2" w:rsidR="007C4C5D" w:rsidRDefault="00905F05" w:rsidP="004768A4">
      <w:pPr>
        <w:pStyle w:val="B1"/>
        <w:ind w:left="0" w:firstLine="0"/>
      </w:pPr>
      <w:r w:rsidRPr="3FCBD0A6">
        <w:t>In RAN</w:t>
      </w:r>
      <w:r w:rsidR="005316FD">
        <w:t>#12</w:t>
      </w:r>
      <w:r w:rsidR="004860FD">
        <w:t>7</w:t>
      </w:r>
      <w:r w:rsidR="005316FD">
        <w:t xml:space="preserve">, following agreements were made on </w:t>
      </w:r>
      <w:r w:rsidR="007C4C5D">
        <w:t>DL coverage enhancements</w:t>
      </w:r>
      <w:r w:rsidRPr="3FCBD0A6">
        <w:t>.</w:t>
      </w:r>
    </w:p>
    <w:p w14:paraId="23348DCA" w14:textId="77777777" w:rsidR="004860FD" w:rsidRDefault="004860FD" w:rsidP="004860FD">
      <w:pPr>
        <w:pStyle w:val="Doc-text2"/>
        <w:pBdr>
          <w:top w:val="single" w:sz="4" w:space="1" w:color="auto"/>
          <w:left w:val="single" w:sz="4" w:space="4" w:color="auto"/>
          <w:bottom w:val="single" w:sz="4" w:space="1" w:color="auto"/>
          <w:right w:val="single" w:sz="4" w:space="4" w:color="auto"/>
        </w:pBdr>
      </w:pPr>
      <w:r>
        <w:t>Agreements:</w:t>
      </w:r>
    </w:p>
    <w:p w14:paraId="32304FD5" w14:textId="77777777" w:rsidR="004860FD" w:rsidRDefault="004860FD" w:rsidP="004860FD">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027362DE" w14:textId="77777777" w:rsidR="004860FD" w:rsidRDefault="004860FD" w:rsidP="004860FD">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proofErr w:type="spellStart"/>
      <w:r w:rsidRPr="006C589B">
        <w:t>ssb-PeriodicityServ</w:t>
      </w:r>
      <w:r>
        <w:t>ingCell</w:t>
      </w:r>
      <w:proofErr w:type="spellEnd"/>
      <w:r w:rsidRPr="006C589B">
        <w:t>, measurem</w:t>
      </w:r>
      <w:r>
        <w:t>ent gap periodicity, SMTC configuration</w:t>
      </w:r>
      <w:r w:rsidRPr="006C589B">
        <w:t>, ssb-Periodicity-r17 for NonCellDefiningSSB-r17 may need to be extended. And the field descriptio</w:t>
      </w:r>
      <w:r>
        <w:t xml:space="preserve">n of </w:t>
      </w:r>
      <w:proofErr w:type="spellStart"/>
      <w:r>
        <w:t>nAndPagingFrameOffset</w:t>
      </w:r>
      <w:proofErr w:type="spellEnd"/>
      <w:r>
        <w:t xml:space="preserve"> may need</w:t>
      </w:r>
      <w:r w:rsidRPr="006C589B">
        <w:t xml:space="preserve"> to be enhanced to consider the SSB periodicity higher than 160ms.</w:t>
      </w:r>
    </w:p>
    <w:p w14:paraId="1FA492E0" w14:textId="77777777" w:rsidR="004860FD" w:rsidRDefault="004860FD" w:rsidP="004860FD">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14:paraId="07A36602" w14:textId="77777777" w:rsidR="004860FD" w:rsidRPr="00872EBA" w:rsidRDefault="004860FD" w:rsidP="004860FD">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5541C30C" w14:textId="77777777" w:rsidR="002326BB" w:rsidRDefault="002326BB" w:rsidP="00BC4C81">
      <w:pPr>
        <w:pStyle w:val="B1"/>
        <w:ind w:left="0" w:firstLine="0"/>
      </w:pPr>
    </w:p>
    <w:p w14:paraId="0039D427" w14:textId="3D995B87" w:rsidR="008745AD" w:rsidRDefault="008745AD" w:rsidP="00BC4C81">
      <w:pPr>
        <w:pStyle w:val="B1"/>
        <w:ind w:left="0" w:firstLine="0"/>
      </w:pPr>
      <w:r>
        <w:t>In RAN2#127bis, following agreements were made.</w:t>
      </w:r>
    </w:p>
    <w:p w14:paraId="0A547827" w14:textId="77777777" w:rsidR="00D96543" w:rsidRDefault="00D96543" w:rsidP="00D96543">
      <w:pPr>
        <w:pStyle w:val="Doc-text2"/>
        <w:pBdr>
          <w:top w:val="single" w:sz="4" w:space="1" w:color="auto"/>
          <w:left w:val="single" w:sz="4" w:space="4" w:color="auto"/>
          <w:bottom w:val="single" w:sz="4" w:space="1" w:color="auto"/>
          <w:right w:val="single" w:sz="4" w:space="4" w:color="auto"/>
        </w:pBdr>
      </w:pPr>
      <w:r>
        <w:t>Agreements:</w:t>
      </w:r>
    </w:p>
    <w:p w14:paraId="6592181A" w14:textId="77777777" w:rsidR="00D96543" w:rsidRDefault="00D96543" w:rsidP="00D96543">
      <w:pPr>
        <w:pStyle w:val="Doc-text2"/>
        <w:pBdr>
          <w:top w:val="single" w:sz="4" w:space="1" w:color="auto"/>
          <w:left w:val="single" w:sz="4" w:space="4" w:color="auto"/>
          <w:bottom w:val="single" w:sz="4" w:space="1" w:color="auto"/>
          <w:right w:val="single" w:sz="4" w:space="4" w:color="auto"/>
        </w:pBdr>
      </w:pPr>
      <w:r>
        <w:t>1.</w:t>
      </w:r>
      <w:r>
        <w:tab/>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30B39688" w14:textId="77777777" w:rsidR="00D96543" w:rsidRDefault="00D96543" w:rsidP="00D96543">
      <w:pPr>
        <w:pStyle w:val="Doc-text2"/>
        <w:pBdr>
          <w:top w:val="single" w:sz="4" w:space="1" w:color="auto"/>
          <w:left w:val="single" w:sz="4" w:space="4" w:color="auto"/>
          <w:bottom w:val="single" w:sz="4" w:space="1" w:color="auto"/>
          <w:right w:val="single" w:sz="4" w:space="4" w:color="auto"/>
        </w:pBdr>
      </w:pPr>
      <w:r>
        <w:t>2.</w:t>
      </w:r>
      <w:r>
        <w:tab/>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74A2A742" w14:textId="77777777" w:rsidR="00D96543" w:rsidRDefault="00D96543" w:rsidP="00D96543">
      <w:pPr>
        <w:pStyle w:val="Doc-text2"/>
        <w:pBdr>
          <w:top w:val="single" w:sz="4" w:space="1" w:color="auto"/>
          <w:left w:val="single" w:sz="4" w:space="4" w:color="auto"/>
          <w:bottom w:val="single" w:sz="4" w:space="1" w:color="auto"/>
          <w:right w:val="single" w:sz="4" w:space="4" w:color="auto"/>
        </w:pBdr>
      </w:pPr>
      <w:r>
        <w:t>3.</w:t>
      </w:r>
      <w:r>
        <w:tab/>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14:paraId="58977439" w14:textId="77777777" w:rsidR="008745AD" w:rsidRDefault="008745AD" w:rsidP="00BC4C81">
      <w:pPr>
        <w:pStyle w:val="B1"/>
        <w:ind w:left="0" w:firstLine="0"/>
      </w:pPr>
    </w:p>
    <w:p w14:paraId="52317F18" w14:textId="48FF7A51" w:rsidR="007064FB" w:rsidRDefault="00203086" w:rsidP="00BC4C81">
      <w:pPr>
        <w:pStyle w:val="B1"/>
        <w:ind w:left="0" w:firstLine="0"/>
      </w:pPr>
      <w:r>
        <w:t>In</w:t>
      </w:r>
      <w:r w:rsidR="00661AB9" w:rsidRPr="3FCBD0A6">
        <w:t xml:space="preserve"> this document, we </w:t>
      </w:r>
      <w:r w:rsidR="002326BB">
        <w:t>cell DTX aspect</w:t>
      </w:r>
      <w:r w:rsidR="00BA5021">
        <w:t xml:space="preserve"> for NTN</w:t>
      </w:r>
      <w:r w:rsidR="00BD1CDB" w:rsidRPr="3FCBD0A6">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27D1E3EA" w14:textId="77777777" w:rsidR="008C5060" w:rsidRDefault="008C5060" w:rsidP="008C5060">
      <w:r w:rsidRPr="008C5060">
        <w:t>Due to power budget limitation at satellite, all beams may not be possible to be active at the same time. It is also possible that which beam needs to be turned off at a time t1 may depend on what is the traffic load around or before time t1. As discussed in [1], TDM pattern is an effective way to enable flexible power sharing among satellite beams and it allows the options of using multiple patterns.</w:t>
      </w:r>
    </w:p>
    <w:p w14:paraId="34ACD126" w14:textId="4D9D4DEC" w:rsidR="008C5060" w:rsidRPr="008C5060" w:rsidRDefault="008C5060" w:rsidP="008C5060">
      <w:r>
        <w:t xml:space="preserve">In scenarios where beams must be alternated to manage power effectively, it becomes crucial to implement a dynamic and adaptable system. This ensures the optimal utilization of power resources while maintaining the integrity and performance </w:t>
      </w:r>
      <w:r w:rsidR="18BB3828">
        <w:t>of NTN</w:t>
      </w:r>
      <w:r>
        <w:t xml:space="preserve">. The TDM pattern's ability to accommodate multiple configurations provides a </w:t>
      </w:r>
      <w:r>
        <w:lastRenderedPageBreak/>
        <w:t>level of flexibility that is essential for addressing the variable traffic demands and power constraints inherent in satellite operations.</w:t>
      </w:r>
    </w:p>
    <w:p w14:paraId="7E1C55C0" w14:textId="77777777" w:rsidR="00AC68CE" w:rsidRDefault="00AC68CE" w:rsidP="00AC68CE">
      <w:pPr>
        <w:keepNext/>
        <w:jc w:val="center"/>
      </w:pPr>
      <w:r w:rsidRPr="00AC68CE">
        <w:rPr>
          <w:noProof/>
        </w:rPr>
        <w:drawing>
          <wp:inline distT="0" distB="0" distL="0" distR="0" wp14:anchorId="2CB6FE7F" wp14:editId="79025DC5">
            <wp:extent cx="5923915" cy="1402080"/>
            <wp:effectExtent l="0" t="0" r="635" b="7620"/>
            <wp:docPr id="6" name="Picture 5">
              <a:extLst xmlns:a="http://schemas.openxmlformats.org/drawingml/2006/main">
                <a:ext uri="{FF2B5EF4-FFF2-40B4-BE49-F238E27FC236}">
                  <a16:creationId xmlns:a16="http://schemas.microsoft.com/office/drawing/2014/main" id="{025D6D30-A02A-C144-7C37-02A65227A5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25D6D30-A02A-C144-7C37-02A65227A5E5}"/>
                        </a:ext>
                      </a:extLst>
                    </pic:cNvPr>
                    <pic:cNvPicPr>
                      <a:picLocks noChangeAspect="1"/>
                    </pic:cNvPicPr>
                  </pic:nvPicPr>
                  <pic:blipFill>
                    <a:blip r:embed="rId11"/>
                    <a:stretch>
                      <a:fillRect/>
                    </a:stretch>
                  </pic:blipFill>
                  <pic:spPr>
                    <a:xfrm>
                      <a:off x="0" y="0"/>
                      <a:ext cx="5923915" cy="1402080"/>
                    </a:xfrm>
                    <a:prstGeom prst="rect">
                      <a:avLst/>
                    </a:prstGeom>
                  </pic:spPr>
                </pic:pic>
              </a:graphicData>
            </a:graphic>
          </wp:inline>
        </w:drawing>
      </w:r>
    </w:p>
    <w:p w14:paraId="52F104F5" w14:textId="4B04E44C" w:rsidR="002A3C7D" w:rsidRPr="003D26F9" w:rsidRDefault="00AC68CE" w:rsidP="00AC68C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Cell DTX</w:t>
      </w:r>
      <w:r w:rsidR="00D97D45">
        <w:t xml:space="preserve"> for different UEs.</w:t>
      </w:r>
    </w:p>
    <w:p w14:paraId="601E5D5E" w14:textId="390C3565" w:rsidR="0053032A" w:rsidRDefault="00F56F63" w:rsidP="000B4873">
      <w:r>
        <w:t xml:space="preserve">RAN2 received </w:t>
      </w:r>
      <w:r w:rsidR="00495AB4">
        <w:t>LS response from RAN1</w:t>
      </w:r>
      <w:r w:rsidR="00F109F8">
        <w:t xml:space="preserve"> in [2]</w:t>
      </w:r>
      <w:r w:rsidR="00495AB4">
        <w:t xml:space="preserve"> and has clarified </w:t>
      </w:r>
      <w:r w:rsidR="00F109F8">
        <w:t>following.</w:t>
      </w:r>
    </w:p>
    <w:tbl>
      <w:tblPr>
        <w:tblStyle w:val="TableGrid"/>
        <w:tblW w:w="9319" w:type="dxa"/>
        <w:tblInd w:w="607" w:type="dxa"/>
        <w:tblLook w:val="04A0" w:firstRow="1" w:lastRow="0" w:firstColumn="1" w:lastColumn="0" w:noHBand="0" w:noVBand="1"/>
      </w:tblPr>
      <w:tblGrid>
        <w:gridCol w:w="9319"/>
      </w:tblGrid>
      <w:tr w:rsidR="00DE7ADE" w14:paraId="6483CBCA" w14:textId="77777777" w:rsidTr="00DE7ADE">
        <w:tc>
          <w:tcPr>
            <w:tcW w:w="9319" w:type="dxa"/>
          </w:tcPr>
          <w:p w14:paraId="68D8E987" w14:textId="77777777" w:rsidR="00DE7ADE" w:rsidRPr="006C2018" w:rsidRDefault="00DE7ADE" w:rsidP="00E612F3">
            <w:pPr>
              <w:pStyle w:val="B1"/>
              <w:snapToGrid w:val="0"/>
              <w:spacing w:after="0"/>
              <w:ind w:left="0" w:firstLine="0"/>
              <w:rPr>
                <w:rFonts w:eastAsiaTheme="minorEastAsia"/>
              </w:rPr>
            </w:pPr>
            <w:r w:rsidRPr="007C6ADC">
              <w:rPr>
                <w:b/>
              </w:rPr>
              <w:t>Question</w:t>
            </w:r>
            <w:proofErr w:type="gramStart"/>
            <w:r w:rsidRPr="007C6ADC">
              <w:rPr>
                <w:b/>
              </w:rPr>
              <w:t>4 :</w:t>
            </w:r>
            <w:proofErr w:type="gramEnd"/>
            <w:r w:rsidRPr="007C6ADC">
              <w:rPr>
                <w:b/>
              </w:rPr>
              <w:t xml:space="preserve"> </w:t>
            </w:r>
            <w:r w:rsidRPr="007C6ADC">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tc>
      </w:tr>
    </w:tbl>
    <w:p w14:paraId="2F2DE5DE" w14:textId="77777777" w:rsidR="00DE7ADE" w:rsidRPr="007C6ADC" w:rsidRDefault="00DE7ADE" w:rsidP="00DE7ADE">
      <w:pPr>
        <w:pStyle w:val="B1"/>
        <w:snapToGrid w:val="0"/>
        <w:spacing w:after="0"/>
        <w:ind w:left="607" w:firstLine="0"/>
        <w:rPr>
          <w:rFonts w:eastAsiaTheme="minorEastAsia"/>
          <w:lang w:val="en-US"/>
        </w:rPr>
      </w:pPr>
    </w:p>
    <w:p w14:paraId="0ED83531" w14:textId="77777777" w:rsidR="00DE7ADE" w:rsidRPr="007C6ADC" w:rsidRDefault="00DE7ADE" w:rsidP="00DE7ADE">
      <w:pPr>
        <w:snapToGrid w:val="0"/>
        <w:spacing w:after="0"/>
        <w:ind w:left="607"/>
        <w:rPr>
          <w:b/>
          <w:iCs/>
        </w:rPr>
      </w:pPr>
      <w:r w:rsidRPr="007C6ADC">
        <w:rPr>
          <w:b/>
          <w:iCs/>
        </w:rPr>
        <w:t>Answer to Q4:</w:t>
      </w:r>
    </w:p>
    <w:p w14:paraId="177D4D7A" w14:textId="77777777" w:rsidR="00DE7ADE" w:rsidRPr="006E6DED" w:rsidRDefault="00DE7ADE" w:rsidP="00DE7ADE">
      <w:pPr>
        <w:snapToGrid w:val="0"/>
        <w:spacing w:after="0"/>
        <w:ind w:left="607"/>
        <w:rPr>
          <w:bCs/>
          <w:iCs/>
        </w:rPr>
      </w:pPr>
      <w:r w:rsidRPr="006E6DED">
        <w:rPr>
          <w:bCs/>
          <w:iCs/>
        </w:rPr>
        <w:t>Beam footprint status in terms of "off", "common messages only" and "active traffic” in one of the RAN1 agreements is only defined for the sake of system-level evaluation methodology.</w:t>
      </w:r>
    </w:p>
    <w:p w14:paraId="4489784D" w14:textId="77777777" w:rsidR="00DE7ADE" w:rsidRDefault="00DE7ADE" w:rsidP="000B4873"/>
    <w:p w14:paraId="5C410676" w14:textId="06983FF9" w:rsidR="006B4D97" w:rsidRDefault="00DE7ADE" w:rsidP="000B4873">
      <w:r>
        <w:t>Therefore,</w:t>
      </w:r>
      <w:r w:rsidR="6EE1A421">
        <w:t xml:space="preserve"> i</w:t>
      </w:r>
      <w:r w:rsidR="006B4D97">
        <w:t xml:space="preserve">t may be better </w:t>
      </w:r>
      <w:r w:rsidR="67CB08F5">
        <w:t xml:space="preserve">RAN2 </w:t>
      </w:r>
      <w:r w:rsidR="69316B50">
        <w:t>to assume t</w:t>
      </w:r>
      <w:r w:rsidR="18876064">
        <w:t>he</w:t>
      </w:r>
      <w:r w:rsidR="69316B50">
        <w:t xml:space="preserve"> support</w:t>
      </w:r>
      <w:r w:rsidR="4757D419">
        <w:t xml:space="preserve"> of</w:t>
      </w:r>
      <w:r w:rsidR="69316B50">
        <w:t xml:space="preserve"> the case where </w:t>
      </w:r>
      <w:r w:rsidR="00626D0B">
        <w:t>NTN cell DTX</w:t>
      </w:r>
      <w:r w:rsidR="00DA6578">
        <w:t xml:space="preserve"> is </w:t>
      </w:r>
      <w:r w:rsidR="00DB7087">
        <w:t>complet</w:t>
      </w:r>
      <w:r w:rsidR="009457BF">
        <w:t>e cell off, i.e., all broadcast signals are off</w:t>
      </w:r>
      <w:r w:rsidR="02788D2E">
        <w:t xml:space="preserve"> and cell completely “on” pattern</w:t>
      </w:r>
      <w:r>
        <w:t xml:space="preserve">. This can be revisited </w:t>
      </w:r>
      <w:r w:rsidR="009F5BD8">
        <w:t>if needed based on RAN1 progress.</w:t>
      </w:r>
    </w:p>
    <w:p w14:paraId="1609403B" w14:textId="7E387BAC" w:rsidR="009457BF" w:rsidRDefault="00A802E7" w:rsidP="00D57FD6">
      <w:pPr>
        <w:pStyle w:val="Proposal"/>
      </w:pPr>
      <w:bookmarkStart w:id="0" w:name="_Toc166149636"/>
      <w:bookmarkStart w:id="1" w:name="_Toc166149713"/>
      <w:bookmarkStart w:id="2" w:name="_Toc166149858"/>
      <w:bookmarkStart w:id="3" w:name="_Toc166170051"/>
      <w:bookmarkStart w:id="4" w:name="_Toc166170128"/>
      <w:bookmarkStart w:id="5" w:name="_Toc173602595"/>
      <w:bookmarkStart w:id="6" w:name="_Toc173603413"/>
      <w:bookmarkStart w:id="7" w:name="_Toc173770113"/>
      <w:bookmarkStart w:id="8" w:name="_Toc174035959"/>
      <w:bookmarkStart w:id="9" w:name="_Toc174035976"/>
      <w:bookmarkStart w:id="10" w:name="_Toc178677125"/>
      <w:bookmarkStart w:id="11" w:name="_Toc178677138"/>
      <w:bookmarkStart w:id="12" w:name="_Toc178880366"/>
      <w:bookmarkStart w:id="13" w:name="_Toc181902862"/>
      <w:r>
        <w:t>RAN2 assume that new NTN cell DTX</w:t>
      </w:r>
      <w:r w:rsidR="00BC7F10">
        <w:t xml:space="preserve"> </w:t>
      </w:r>
      <w:r w:rsidR="77B4DBE6">
        <w:t>with</w:t>
      </w:r>
      <w:r w:rsidR="007A7E0E">
        <w:t xml:space="preserve"> </w:t>
      </w:r>
      <w:r w:rsidR="00745E54">
        <w:t xml:space="preserve">ON and OFF pattern of the </w:t>
      </w:r>
      <w:r w:rsidR="006F42EA">
        <w:t>beam</w:t>
      </w:r>
      <w:r w:rsidR="3DD2CC3B">
        <w:t xml:space="preserve"> is supported</w:t>
      </w:r>
      <w:r w:rsidR="009031C3">
        <w:t>.</w:t>
      </w:r>
      <w:bookmarkEnd w:id="0"/>
      <w:bookmarkEnd w:id="1"/>
      <w:bookmarkEnd w:id="2"/>
      <w:bookmarkEnd w:id="3"/>
      <w:bookmarkEnd w:id="4"/>
      <w:bookmarkEnd w:id="5"/>
      <w:bookmarkEnd w:id="6"/>
      <w:bookmarkEnd w:id="7"/>
      <w:bookmarkEnd w:id="8"/>
      <w:bookmarkEnd w:id="9"/>
      <w:bookmarkEnd w:id="10"/>
      <w:bookmarkEnd w:id="11"/>
      <w:bookmarkEnd w:id="12"/>
      <w:bookmarkEnd w:id="13"/>
    </w:p>
    <w:p w14:paraId="0DF50C64" w14:textId="0DFF72E0" w:rsidR="00D7342E" w:rsidRDefault="00B31053" w:rsidP="000B4873">
      <w:r>
        <w:t>As mentioned earlier, a single semi-static</w:t>
      </w:r>
      <w:r w:rsidR="00927418">
        <w:t xml:space="preserve"> cell DTX</w:t>
      </w:r>
      <w:r>
        <w:t xml:space="preserve"> pattern may not be efficient. A dynamic</w:t>
      </w:r>
      <w:r w:rsidR="00927418">
        <w:t xml:space="preserve"> cell DTX pattern based on traffic load of the beam</w:t>
      </w:r>
      <w:r w:rsidR="2BB4840F">
        <w:t>s</w:t>
      </w:r>
      <w:r w:rsidR="00927418">
        <w:t xml:space="preserve"> can be more efficient.</w:t>
      </w:r>
      <w:r w:rsidR="003176AB">
        <w:t xml:space="preserve"> For this</w:t>
      </w:r>
      <w:r w:rsidR="0061743E">
        <w:t>,</w:t>
      </w:r>
      <w:r w:rsidR="003176AB">
        <w:t xml:space="preserve"> dynamic DCI based cell DTX activation/deactivation or multiple cell DTX patterns can be considered.</w:t>
      </w:r>
    </w:p>
    <w:p w14:paraId="125023A8" w14:textId="3A60D7F2" w:rsidR="00EB34B8" w:rsidRDefault="00EB34B8" w:rsidP="000B4873">
      <w:r>
        <w:t>Rel-18 NES supports a single</w:t>
      </w:r>
      <w:r w:rsidR="00CE75AB">
        <w:t xml:space="preserve"> DTX pattern per serving cell, however, it already supports DCI-based activation </w:t>
      </w:r>
      <w:r w:rsidR="00804340">
        <w:t>and deactivation of the DTX pattern. This mechanism can also be extended for NTN scenario.</w:t>
      </w:r>
      <w:r w:rsidR="007A056B">
        <w:t xml:space="preserve"> Dynamically one beam may be</w:t>
      </w:r>
      <w:r w:rsidR="00334BE4">
        <w:t xml:space="preserve"> deactivated with cell DTX or activated with a new cell DTX pattern depending on traffic load and power</w:t>
      </w:r>
      <w:r w:rsidR="00F36244">
        <w:t xml:space="preserve"> sharing management. We can consider th</w:t>
      </w:r>
      <w:r w:rsidR="00EF437B">
        <w:t xml:space="preserve">e DCI-based </w:t>
      </w:r>
      <w:r w:rsidR="008411A6">
        <w:t>activation/deactivation command for both cases when the cell configures UE with multiple DTX pattern or just a single DTX pattern.</w:t>
      </w:r>
      <w:r w:rsidR="00653206">
        <w:t xml:space="preserve"> For IDLE mode</w:t>
      </w:r>
      <w:r w:rsidR="00750D3B">
        <w:t>, similar mechanism defined for PEI in wakeup signal</w:t>
      </w:r>
      <w:r w:rsidR="004E21FE">
        <w:t xml:space="preserve"> can be considered. UE can monitor the</w:t>
      </w:r>
      <w:r w:rsidR="00292866">
        <w:t xml:space="preserve"> DCI in its paging occasion.</w:t>
      </w:r>
      <w:r w:rsidR="006B473D">
        <w:t xml:space="preserve"> How to enable</w:t>
      </w:r>
      <w:r w:rsidR="0074619C">
        <w:t xml:space="preserve"> the activation/deactivation for UEs in RRC_IDLE or RRC_INACTIVE can be further discussed.</w:t>
      </w:r>
    </w:p>
    <w:p w14:paraId="13724724" w14:textId="5E6D171E" w:rsidR="00165516" w:rsidRDefault="00E675C4" w:rsidP="00E97DFB">
      <w:pPr>
        <w:pStyle w:val="Proposal"/>
      </w:pPr>
      <w:bookmarkStart w:id="14" w:name="_Toc165902516"/>
      <w:bookmarkStart w:id="15" w:name="_Toc165902593"/>
      <w:bookmarkStart w:id="16" w:name="_Toc166149639"/>
      <w:bookmarkStart w:id="17" w:name="_Toc166149716"/>
      <w:bookmarkStart w:id="18" w:name="_Toc166149861"/>
      <w:bookmarkStart w:id="19" w:name="_Toc166170054"/>
      <w:bookmarkStart w:id="20" w:name="_Toc166170131"/>
      <w:bookmarkStart w:id="21" w:name="_Toc173602596"/>
      <w:bookmarkStart w:id="22" w:name="_Toc173603414"/>
      <w:bookmarkStart w:id="23" w:name="_Toc173770114"/>
      <w:bookmarkStart w:id="24" w:name="_Toc174035960"/>
      <w:bookmarkStart w:id="25" w:name="_Toc174035977"/>
      <w:bookmarkStart w:id="26" w:name="_Toc178677126"/>
      <w:bookmarkStart w:id="27" w:name="_Toc178677139"/>
      <w:bookmarkStart w:id="28" w:name="_Toc178880367"/>
      <w:bookmarkStart w:id="29" w:name="_Toc181902863"/>
      <w:r>
        <w:t>RAN2 assumes</w:t>
      </w:r>
      <w:r w:rsidR="00165516">
        <w:t xml:space="preserve"> dynamic </w:t>
      </w:r>
      <w:r w:rsidR="00230DB1">
        <w:t xml:space="preserve">DCI-based </w:t>
      </w:r>
      <w:r w:rsidR="00165516">
        <w:t xml:space="preserve">activation/deactivation of </w:t>
      </w:r>
      <w:r w:rsidR="00945075">
        <w:t xml:space="preserve">NTN </w:t>
      </w:r>
      <w:r w:rsidR="00165516">
        <w:t xml:space="preserve">cell DTX patterns </w:t>
      </w:r>
      <w:r w:rsidR="00230DB1">
        <w:t>depending</w:t>
      </w:r>
      <w:r w:rsidR="00165516">
        <w:t xml:space="preserve"> on</w:t>
      </w:r>
      <w:r w:rsidR="00E97DFB">
        <w:t xml:space="preserve"> beam/cell traffic load is </w:t>
      </w:r>
      <w:r w:rsidR="006B4076">
        <w:t>supported</w:t>
      </w:r>
      <w:bookmarkEnd w:id="14"/>
      <w:bookmarkEnd w:id="15"/>
      <w:bookmarkEnd w:id="16"/>
      <w:bookmarkEnd w:id="17"/>
      <w:bookmarkEnd w:id="18"/>
      <w:bookmarkEnd w:id="19"/>
      <w:bookmarkEnd w:id="20"/>
      <w:r w:rsidR="00EF437B">
        <w:t>.</w:t>
      </w:r>
      <w:bookmarkEnd w:id="21"/>
      <w:bookmarkEnd w:id="22"/>
      <w:bookmarkEnd w:id="23"/>
      <w:bookmarkEnd w:id="24"/>
      <w:bookmarkEnd w:id="25"/>
      <w:bookmarkEnd w:id="26"/>
      <w:bookmarkEnd w:id="27"/>
      <w:r w:rsidR="0074619C">
        <w:t xml:space="preserve"> FFS on details.</w:t>
      </w:r>
      <w:bookmarkEnd w:id="28"/>
      <w:bookmarkEnd w:id="29"/>
    </w:p>
    <w:p w14:paraId="73B65F54" w14:textId="08C17EDD" w:rsidR="00246E0E" w:rsidRDefault="004324D5" w:rsidP="000B4873">
      <w:r>
        <w:t xml:space="preserve">RAN2 </w:t>
      </w:r>
      <w:r w:rsidR="00523972">
        <w:t>should also consider impact</w:t>
      </w:r>
      <w:r w:rsidR="00131CD6">
        <w:t xml:space="preserve"> of cell DTX</w:t>
      </w:r>
      <w:r w:rsidR="00523972">
        <w:t xml:space="preserve"> on legacy UEs,</w:t>
      </w:r>
      <w:r w:rsidR="001D20F9">
        <w:t xml:space="preserve"> </w:t>
      </w:r>
      <w:proofErr w:type="spellStart"/>
      <w:r w:rsidR="001D20F9">
        <w:t>neighbor</w:t>
      </w:r>
      <w:proofErr w:type="spellEnd"/>
      <w:r w:rsidR="001D20F9">
        <w:t xml:space="preserve"> cell measurement and initial access delay.</w:t>
      </w:r>
      <w:r w:rsidR="00A91CF6">
        <w:t xml:space="preserve"> </w:t>
      </w:r>
      <w:r w:rsidR="00557401">
        <w:t xml:space="preserve">For UEs in RRC_IDLE, </w:t>
      </w:r>
      <w:r w:rsidR="000346A6">
        <w:t xml:space="preserve">the DTX pattern should minimize the </w:t>
      </w:r>
      <w:r w:rsidR="00557401">
        <w:t xml:space="preserve">delay in initial access. </w:t>
      </w:r>
      <w:r w:rsidR="007E27D3">
        <w:t xml:space="preserve">Cell DTX pattern can also affect the </w:t>
      </w:r>
      <w:proofErr w:type="spellStart"/>
      <w:r w:rsidR="007E27D3">
        <w:t>neighbor</w:t>
      </w:r>
      <w:proofErr w:type="spellEnd"/>
      <w:r w:rsidR="007E27D3">
        <w:t xml:space="preserve"> cell measurements specially in RRC_IDLE.</w:t>
      </w:r>
      <w:r w:rsidR="00402BA5">
        <w:t xml:space="preserve"> It can also affect the system information update procedure.</w:t>
      </w:r>
      <w:r w:rsidR="009E59A2">
        <w:t xml:space="preserve"> </w:t>
      </w:r>
    </w:p>
    <w:p w14:paraId="54150FC9" w14:textId="587497A8" w:rsidR="005D5E61" w:rsidRPr="003D26F9" w:rsidRDefault="005D5E61" w:rsidP="007E27D3">
      <w:pPr>
        <w:pStyle w:val="Proposal"/>
      </w:pPr>
      <w:bookmarkStart w:id="30" w:name="_Toc173603415"/>
      <w:bookmarkStart w:id="31" w:name="_Toc173770115"/>
      <w:bookmarkStart w:id="32" w:name="_Toc174035961"/>
      <w:bookmarkStart w:id="33" w:name="_Toc174035978"/>
      <w:bookmarkStart w:id="34" w:name="_Toc178677127"/>
      <w:bookmarkStart w:id="35" w:name="_Toc178677140"/>
      <w:bookmarkStart w:id="36" w:name="_Toc178880368"/>
      <w:bookmarkStart w:id="37" w:name="_Toc181902864"/>
      <w:r>
        <w:t xml:space="preserve">RAN2 </w:t>
      </w:r>
      <w:r w:rsidR="00084AC2">
        <w:t>study</w:t>
      </w:r>
      <w:r>
        <w:t xml:space="preserve"> the impact</w:t>
      </w:r>
      <w:r w:rsidR="009E59A2">
        <w:t xml:space="preserve">s of cell DTX on </w:t>
      </w:r>
      <w:r w:rsidR="00A45DCC">
        <w:t>s</w:t>
      </w:r>
      <w:r w:rsidR="00084AC2">
        <w:t xml:space="preserve">ystem information change, </w:t>
      </w:r>
      <w:r w:rsidR="009E59A2">
        <w:t>UE measurements and initial access</w:t>
      </w:r>
      <w:r w:rsidR="0054494E">
        <w:t xml:space="preserve"> delay</w:t>
      </w:r>
      <w:r w:rsidR="009E59A2">
        <w:t>.</w:t>
      </w:r>
      <w:bookmarkEnd w:id="30"/>
      <w:bookmarkEnd w:id="31"/>
      <w:bookmarkEnd w:id="32"/>
      <w:bookmarkEnd w:id="33"/>
      <w:bookmarkEnd w:id="34"/>
      <w:bookmarkEnd w:id="35"/>
      <w:bookmarkEnd w:id="36"/>
      <w:bookmarkEnd w:id="37"/>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542AFE57" w14:textId="77777777" w:rsidR="00DC4E5A"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lastRenderedPageBreak/>
        <w:fldChar w:fldCharType="begin"/>
      </w:r>
      <w:r>
        <w:instrText xml:space="preserve"> TOC \n \t "Proposal,1,Observation,1" </w:instrText>
      </w:r>
      <w:r>
        <w:fldChar w:fldCharType="separate"/>
      </w:r>
      <w:r w:rsidR="00DC4E5A">
        <w:t>Proposal 1</w:t>
      </w:r>
      <w:r w:rsidR="00DC4E5A">
        <w:rPr>
          <w:rFonts w:asciiTheme="minorHAnsi" w:eastAsiaTheme="minorEastAsia" w:hAnsiTheme="minorHAnsi" w:cstheme="minorBidi"/>
          <w:kern w:val="2"/>
          <w:sz w:val="24"/>
          <w:szCs w:val="24"/>
          <w:lang w:val="en-US"/>
          <w14:ligatures w14:val="standardContextual"/>
        </w:rPr>
        <w:tab/>
      </w:r>
      <w:r w:rsidR="00DC4E5A">
        <w:t>RAN2 assume that new NTN cell DTX with ON and OFF pattern of the beam is supported.</w:t>
      </w:r>
    </w:p>
    <w:p w14:paraId="106C3A02" w14:textId="77777777" w:rsidR="00DC4E5A" w:rsidRDefault="00DC4E5A">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RAN2 assumes dynamic DCI-based activation/deactivation of NTN cell DTX patterns depending on beam/cell traffic load is supported. FFS on details.</w:t>
      </w:r>
    </w:p>
    <w:p w14:paraId="22FA0F82" w14:textId="77777777" w:rsidR="00DC4E5A" w:rsidRDefault="00DC4E5A">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RAN2 study the impacts of cell DTX on system information change, UE measurements and initial access delay.</w:t>
      </w:r>
    </w:p>
    <w:p w14:paraId="572A2F30" w14:textId="6E31AB37" w:rsidR="002531E6" w:rsidRPr="001E3B4A" w:rsidRDefault="00A81919" w:rsidP="001E3B4A">
      <w:pPr>
        <w:pStyle w:val="Heading1"/>
        <w:numPr>
          <w:ilvl w:val="0"/>
          <w:numId w:val="6"/>
        </w:numPr>
        <w:pBdr>
          <w:top w:val="single" w:sz="12" w:space="2" w:color="auto"/>
        </w:pBdr>
        <w:tabs>
          <w:tab w:val="num" w:pos="720"/>
        </w:tabs>
        <w:ind w:left="720" w:hanging="720"/>
      </w:pPr>
      <w:r>
        <w:rPr>
          <w:noProof/>
          <w:sz w:val="22"/>
        </w:rPr>
        <w:fldChar w:fldCharType="end"/>
      </w:r>
      <w:r w:rsidR="00D97D45" w:rsidRPr="001E3B4A">
        <w:t>References</w:t>
      </w:r>
    </w:p>
    <w:p w14:paraId="7E67FFC4" w14:textId="431A825A" w:rsidR="00D97D45" w:rsidRDefault="00D97D45" w:rsidP="00D97D45">
      <w:r>
        <w:t xml:space="preserve">[1] </w:t>
      </w:r>
      <w:r w:rsidR="00143521" w:rsidRPr="00143521">
        <w:t>R1-2403211</w:t>
      </w:r>
      <w:r w:rsidR="00143521">
        <w:t>, “</w:t>
      </w:r>
      <w:r w:rsidR="008C0CC2" w:rsidRPr="008C0CC2">
        <w:t>Downlink coverage enhancement for NR NTN</w:t>
      </w:r>
      <w:r w:rsidR="008C0CC2">
        <w:t xml:space="preserve">”, </w:t>
      </w:r>
      <w:r w:rsidR="001E3B4A" w:rsidRPr="001E3B4A">
        <w:t>Changsha, China, April 15th – 19th, 2024</w:t>
      </w:r>
      <w:r w:rsidR="001E3B4A">
        <w:t>.</w:t>
      </w:r>
    </w:p>
    <w:p w14:paraId="30EF3689" w14:textId="6039BB5E" w:rsidR="009F5BD8" w:rsidRPr="00D97D45" w:rsidRDefault="009F5BD8" w:rsidP="00D97D45">
      <w:r>
        <w:t xml:space="preserve">[2] </w:t>
      </w:r>
      <w:r w:rsidR="00D5645C" w:rsidRPr="00D5645C">
        <w:t>R2-2407919</w:t>
      </w:r>
      <w:r w:rsidR="00D5645C">
        <w:t>, “</w:t>
      </w:r>
      <w:r w:rsidR="00652A7F" w:rsidRPr="00652A7F">
        <w:t>Reply LS on DL coverage enhancements</w:t>
      </w:r>
      <w:r w:rsidR="00652A7F">
        <w:t xml:space="preserve">”, </w:t>
      </w:r>
      <w:r w:rsidR="00134573" w:rsidRPr="00134573">
        <w:t>Hefei, China, 14th - 18th October 2024</w:t>
      </w:r>
      <w:r w:rsidR="00134573">
        <w:t>.</w:t>
      </w:r>
    </w:p>
    <w:sectPr w:rsidR="009F5BD8" w:rsidRPr="00D97D45" w:rsidSect="00195324">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1507D" w14:textId="77777777" w:rsidR="00E121EE" w:rsidRDefault="00E121EE">
      <w:pPr>
        <w:spacing w:after="0"/>
      </w:pPr>
      <w:r>
        <w:separator/>
      </w:r>
    </w:p>
  </w:endnote>
  <w:endnote w:type="continuationSeparator" w:id="0">
    <w:p w14:paraId="30CB091C" w14:textId="77777777" w:rsidR="00E121EE" w:rsidRDefault="00E121EE">
      <w:pPr>
        <w:spacing w:after="0"/>
      </w:pPr>
      <w:r>
        <w:continuationSeparator/>
      </w:r>
    </w:p>
  </w:endnote>
  <w:endnote w:type="continuationNotice" w:id="1">
    <w:p w14:paraId="64383035" w14:textId="77777777" w:rsidR="00E121EE" w:rsidRDefault="00E12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672F3" w14:textId="77777777" w:rsidR="00E121EE" w:rsidRDefault="00E121EE">
      <w:pPr>
        <w:spacing w:after="0"/>
      </w:pPr>
      <w:r>
        <w:separator/>
      </w:r>
    </w:p>
  </w:footnote>
  <w:footnote w:type="continuationSeparator" w:id="0">
    <w:p w14:paraId="163BCC1E" w14:textId="77777777" w:rsidR="00E121EE" w:rsidRDefault="00E121EE">
      <w:pPr>
        <w:spacing w:after="0"/>
      </w:pPr>
      <w:r>
        <w:continuationSeparator/>
      </w:r>
    </w:p>
  </w:footnote>
  <w:footnote w:type="continuationNotice" w:id="1">
    <w:p w14:paraId="4ED3ADD6" w14:textId="77777777" w:rsidR="00E121EE" w:rsidRDefault="00E12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0"/>
  </w:num>
  <w:num w:numId="3" w16cid:durableId="848328707">
    <w:abstractNumId w:val="2"/>
  </w:num>
  <w:num w:numId="4" w16cid:durableId="1457137946">
    <w:abstractNumId w:val="12"/>
  </w:num>
  <w:num w:numId="5" w16cid:durableId="1097747988">
    <w:abstractNumId w:val="20"/>
  </w:num>
  <w:num w:numId="6" w16cid:durableId="675621482">
    <w:abstractNumId w:val="9"/>
  </w:num>
  <w:num w:numId="7" w16cid:durableId="1304964842">
    <w:abstractNumId w:val="14"/>
  </w:num>
  <w:num w:numId="8" w16cid:durableId="125047382">
    <w:abstractNumId w:val="10"/>
  </w:num>
  <w:num w:numId="9" w16cid:durableId="269971381">
    <w:abstractNumId w:val="17"/>
  </w:num>
  <w:num w:numId="10" w16cid:durableId="1166480600">
    <w:abstractNumId w:val="6"/>
  </w:num>
  <w:num w:numId="11" w16cid:durableId="1899051820">
    <w:abstractNumId w:val="11"/>
  </w:num>
  <w:num w:numId="12" w16cid:durableId="1750300129">
    <w:abstractNumId w:val="13"/>
  </w:num>
  <w:num w:numId="13" w16cid:durableId="1246263475">
    <w:abstractNumId w:val="12"/>
  </w:num>
  <w:num w:numId="14" w16cid:durableId="1670326438">
    <w:abstractNumId w:val="12"/>
  </w:num>
  <w:num w:numId="15" w16cid:durableId="1185368059">
    <w:abstractNumId w:val="1"/>
  </w:num>
  <w:num w:numId="16" w16cid:durableId="680856319">
    <w:abstractNumId w:val="5"/>
  </w:num>
  <w:num w:numId="17" w16cid:durableId="1320383609">
    <w:abstractNumId w:val="4"/>
  </w:num>
  <w:num w:numId="18" w16cid:durableId="1506020440">
    <w:abstractNumId w:val="12"/>
  </w:num>
  <w:num w:numId="19" w16cid:durableId="1131437444">
    <w:abstractNumId w:val="16"/>
  </w:num>
  <w:num w:numId="20" w16cid:durableId="1554272510">
    <w:abstractNumId w:val="12"/>
  </w:num>
  <w:num w:numId="21" w16cid:durableId="2070877550">
    <w:abstractNumId w:val="18"/>
  </w:num>
  <w:num w:numId="22" w16cid:durableId="1726248054">
    <w:abstractNumId w:val="12"/>
  </w:num>
  <w:num w:numId="23" w16cid:durableId="611282159">
    <w:abstractNumId w:val="19"/>
  </w:num>
  <w:num w:numId="24" w16cid:durableId="1473984226">
    <w:abstractNumId w:val="7"/>
  </w:num>
  <w:num w:numId="25" w16cid:durableId="52776904">
    <w:abstractNumId w:val="12"/>
  </w:num>
  <w:num w:numId="26" w16cid:durableId="194077589">
    <w:abstractNumId w:val="12"/>
  </w:num>
  <w:num w:numId="27" w16cid:durableId="776409118">
    <w:abstractNumId w:val="8"/>
  </w:num>
  <w:num w:numId="28" w16cid:durableId="1204831060">
    <w:abstractNumId w:val="0"/>
  </w:num>
  <w:num w:numId="29" w16cid:durableId="1459685286">
    <w:abstractNumId w:val="12"/>
  </w:num>
  <w:num w:numId="30" w16cid:durableId="1768177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2BE8"/>
    <w:rsid w:val="00004132"/>
    <w:rsid w:val="0002101C"/>
    <w:rsid w:val="00024312"/>
    <w:rsid w:val="00034513"/>
    <w:rsid w:val="000346A6"/>
    <w:rsid w:val="00035798"/>
    <w:rsid w:val="00043721"/>
    <w:rsid w:val="0006104D"/>
    <w:rsid w:val="000712ED"/>
    <w:rsid w:val="000730BA"/>
    <w:rsid w:val="00076F06"/>
    <w:rsid w:val="00077247"/>
    <w:rsid w:val="000841DA"/>
    <w:rsid w:val="00084AC2"/>
    <w:rsid w:val="000855B8"/>
    <w:rsid w:val="00087A9A"/>
    <w:rsid w:val="000933B6"/>
    <w:rsid w:val="000957D6"/>
    <w:rsid w:val="00095B0E"/>
    <w:rsid w:val="00097AC9"/>
    <w:rsid w:val="000B4525"/>
    <w:rsid w:val="000B4873"/>
    <w:rsid w:val="000B5286"/>
    <w:rsid w:val="000D3D32"/>
    <w:rsid w:val="000D51CD"/>
    <w:rsid w:val="000D7711"/>
    <w:rsid w:val="000E2C31"/>
    <w:rsid w:val="000E61A5"/>
    <w:rsid w:val="000F5047"/>
    <w:rsid w:val="000F537B"/>
    <w:rsid w:val="001008D1"/>
    <w:rsid w:val="00105A52"/>
    <w:rsid w:val="00110DCF"/>
    <w:rsid w:val="001120ED"/>
    <w:rsid w:val="00121D6B"/>
    <w:rsid w:val="00127178"/>
    <w:rsid w:val="00131CD6"/>
    <w:rsid w:val="001338B7"/>
    <w:rsid w:val="00134573"/>
    <w:rsid w:val="00143521"/>
    <w:rsid w:val="00146B2F"/>
    <w:rsid w:val="00147207"/>
    <w:rsid w:val="001547BE"/>
    <w:rsid w:val="0016005C"/>
    <w:rsid w:val="00162617"/>
    <w:rsid w:val="00165516"/>
    <w:rsid w:val="00167EED"/>
    <w:rsid w:val="00173883"/>
    <w:rsid w:val="001924A8"/>
    <w:rsid w:val="00192E2D"/>
    <w:rsid w:val="00195324"/>
    <w:rsid w:val="00197843"/>
    <w:rsid w:val="001A0825"/>
    <w:rsid w:val="001C0D36"/>
    <w:rsid w:val="001C79A1"/>
    <w:rsid w:val="001D20F9"/>
    <w:rsid w:val="001E3B4A"/>
    <w:rsid w:val="001E3FE7"/>
    <w:rsid w:val="001F2B9D"/>
    <w:rsid w:val="001F709D"/>
    <w:rsid w:val="00200750"/>
    <w:rsid w:val="00200CB4"/>
    <w:rsid w:val="00203086"/>
    <w:rsid w:val="002040AD"/>
    <w:rsid w:val="00212A78"/>
    <w:rsid w:val="002138E1"/>
    <w:rsid w:val="00214438"/>
    <w:rsid w:val="00222121"/>
    <w:rsid w:val="00230B91"/>
    <w:rsid w:val="00230DB1"/>
    <w:rsid w:val="002326BB"/>
    <w:rsid w:val="00234164"/>
    <w:rsid w:val="00241E90"/>
    <w:rsid w:val="00246E0E"/>
    <w:rsid w:val="002531E6"/>
    <w:rsid w:val="002578E0"/>
    <w:rsid w:val="0026765E"/>
    <w:rsid w:val="00276A10"/>
    <w:rsid w:val="00280CE9"/>
    <w:rsid w:val="00291859"/>
    <w:rsid w:val="00292866"/>
    <w:rsid w:val="002954D8"/>
    <w:rsid w:val="00297FF8"/>
    <w:rsid w:val="002A0B22"/>
    <w:rsid w:val="002A0BF5"/>
    <w:rsid w:val="002A3C7D"/>
    <w:rsid w:val="002A538D"/>
    <w:rsid w:val="002A57B4"/>
    <w:rsid w:val="002A792C"/>
    <w:rsid w:val="002B0640"/>
    <w:rsid w:val="002C08B1"/>
    <w:rsid w:val="002C6B35"/>
    <w:rsid w:val="002C7B84"/>
    <w:rsid w:val="002D4724"/>
    <w:rsid w:val="002D6B09"/>
    <w:rsid w:val="002D7705"/>
    <w:rsid w:val="002E1490"/>
    <w:rsid w:val="002E505D"/>
    <w:rsid w:val="002F0BC7"/>
    <w:rsid w:val="002F31FB"/>
    <w:rsid w:val="002F66DE"/>
    <w:rsid w:val="003176AB"/>
    <w:rsid w:val="00334BE4"/>
    <w:rsid w:val="00341E19"/>
    <w:rsid w:val="00344C4B"/>
    <w:rsid w:val="003469A8"/>
    <w:rsid w:val="00346EA7"/>
    <w:rsid w:val="00347C10"/>
    <w:rsid w:val="00355001"/>
    <w:rsid w:val="00356604"/>
    <w:rsid w:val="00356D03"/>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39CC"/>
    <w:rsid w:val="003C4A6F"/>
    <w:rsid w:val="003D0600"/>
    <w:rsid w:val="003D26F9"/>
    <w:rsid w:val="003E0075"/>
    <w:rsid w:val="003E0126"/>
    <w:rsid w:val="003E595D"/>
    <w:rsid w:val="003E5ADF"/>
    <w:rsid w:val="003F4202"/>
    <w:rsid w:val="003F4986"/>
    <w:rsid w:val="003F5B15"/>
    <w:rsid w:val="003F60FE"/>
    <w:rsid w:val="003F7B7C"/>
    <w:rsid w:val="00402BA5"/>
    <w:rsid w:val="00407025"/>
    <w:rsid w:val="0041084D"/>
    <w:rsid w:val="00414659"/>
    <w:rsid w:val="00417E6E"/>
    <w:rsid w:val="00421203"/>
    <w:rsid w:val="0043054C"/>
    <w:rsid w:val="004324D5"/>
    <w:rsid w:val="00440D89"/>
    <w:rsid w:val="00440F1A"/>
    <w:rsid w:val="00441EEB"/>
    <w:rsid w:val="00443BA0"/>
    <w:rsid w:val="00452885"/>
    <w:rsid w:val="00453B12"/>
    <w:rsid w:val="00457ADF"/>
    <w:rsid w:val="004601DB"/>
    <w:rsid w:val="00461244"/>
    <w:rsid w:val="00475EE2"/>
    <w:rsid w:val="004768A4"/>
    <w:rsid w:val="00481662"/>
    <w:rsid w:val="004860FD"/>
    <w:rsid w:val="00495AB4"/>
    <w:rsid w:val="0049738F"/>
    <w:rsid w:val="004A0679"/>
    <w:rsid w:val="004A1B8A"/>
    <w:rsid w:val="004A76D5"/>
    <w:rsid w:val="004B6A20"/>
    <w:rsid w:val="004C3083"/>
    <w:rsid w:val="004D03B3"/>
    <w:rsid w:val="004D1A5F"/>
    <w:rsid w:val="004D2666"/>
    <w:rsid w:val="004E1CF9"/>
    <w:rsid w:val="004E21FE"/>
    <w:rsid w:val="004E4061"/>
    <w:rsid w:val="004F2903"/>
    <w:rsid w:val="004F4B8E"/>
    <w:rsid w:val="004F59D6"/>
    <w:rsid w:val="004F665E"/>
    <w:rsid w:val="00512857"/>
    <w:rsid w:val="00521DD3"/>
    <w:rsid w:val="00523972"/>
    <w:rsid w:val="0053032A"/>
    <w:rsid w:val="005316FD"/>
    <w:rsid w:val="0054494E"/>
    <w:rsid w:val="005473B9"/>
    <w:rsid w:val="0055032C"/>
    <w:rsid w:val="00552A95"/>
    <w:rsid w:val="00557401"/>
    <w:rsid w:val="0056464A"/>
    <w:rsid w:val="00564DAA"/>
    <w:rsid w:val="00567739"/>
    <w:rsid w:val="00575B3D"/>
    <w:rsid w:val="005900AA"/>
    <w:rsid w:val="00595F58"/>
    <w:rsid w:val="005A4488"/>
    <w:rsid w:val="005A4DD8"/>
    <w:rsid w:val="005A6301"/>
    <w:rsid w:val="005A663B"/>
    <w:rsid w:val="005B2476"/>
    <w:rsid w:val="005B6606"/>
    <w:rsid w:val="005B683B"/>
    <w:rsid w:val="005C3338"/>
    <w:rsid w:val="005C4EDA"/>
    <w:rsid w:val="005C5690"/>
    <w:rsid w:val="005D5E61"/>
    <w:rsid w:val="005D7334"/>
    <w:rsid w:val="005E003F"/>
    <w:rsid w:val="005E22D9"/>
    <w:rsid w:val="005E7835"/>
    <w:rsid w:val="005F5769"/>
    <w:rsid w:val="005F71C7"/>
    <w:rsid w:val="0060108D"/>
    <w:rsid w:val="00601DFA"/>
    <w:rsid w:val="00601EB2"/>
    <w:rsid w:val="0060356D"/>
    <w:rsid w:val="006035D1"/>
    <w:rsid w:val="0061743E"/>
    <w:rsid w:val="00617871"/>
    <w:rsid w:val="0062226C"/>
    <w:rsid w:val="00622F20"/>
    <w:rsid w:val="00623399"/>
    <w:rsid w:val="00626D0B"/>
    <w:rsid w:val="006313A5"/>
    <w:rsid w:val="006324A9"/>
    <w:rsid w:val="00635E23"/>
    <w:rsid w:val="00640F25"/>
    <w:rsid w:val="00652A7F"/>
    <w:rsid w:val="00653206"/>
    <w:rsid w:val="0065351E"/>
    <w:rsid w:val="00660099"/>
    <w:rsid w:val="00661AB9"/>
    <w:rsid w:val="006629B4"/>
    <w:rsid w:val="00672025"/>
    <w:rsid w:val="00674E3C"/>
    <w:rsid w:val="00684AA1"/>
    <w:rsid w:val="00685D63"/>
    <w:rsid w:val="006961FB"/>
    <w:rsid w:val="006A1190"/>
    <w:rsid w:val="006A3F70"/>
    <w:rsid w:val="006A4146"/>
    <w:rsid w:val="006B4076"/>
    <w:rsid w:val="006B473D"/>
    <w:rsid w:val="006B4D97"/>
    <w:rsid w:val="006C0739"/>
    <w:rsid w:val="006C0A9B"/>
    <w:rsid w:val="006D5A22"/>
    <w:rsid w:val="006D750A"/>
    <w:rsid w:val="006E2266"/>
    <w:rsid w:val="006E4B17"/>
    <w:rsid w:val="006E6BAC"/>
    <w:rsid w:val="006F0364"/>
    <w:rsid w:val="006F11C1"/>
    <w:rsid w:val="006F2C54"/>
    <w:rsid w:val="006F42EA"/>
    <w:rsid w:val="00701D46"/>
    <w:rsid w:val="007064FB"/>
    <w:rsid w:val="007169F6"/>
    <w:rsid w:val="00727ECE"/>
    <w:rsid w:val="00732EC1"/>
    <w:rsid w:val="0073386A"/>
    <w:rsid w:val="00745D1A"/>
    <w:rsid w:val="00745E54"/>
    <w:rsid w:val="0074619C"/>
    <w:rsid w:val="00750D3B"/>
    <w:rsid w:val="0075382F"/>
    <w:rsid w:val="00754401"/>
    <w:rsid w:val="00763CEF"/>
    <w:rsid w:val="00764420"/>
    <w:rsid w:val="007645C4"/>
    <w:rsid w:val="0076681A"/>
    <w:rsid w:val="00771DCF"/>
    <w:rsid w:val="0077220C"/>
    <w:rsid w:val="0077586D"/>
    <w:rsid w:val="00777CBA"/>
    <w:rsid w:val="007834EA"/>
    <w:rsid w:val="00784D94"/>
    <w:rsid w:val="00785D78"/>
    <w:rsid w:val="00797FF8"/>
    <w:rsid w:val="007A056B"/>
    <w:rsid w:val="007A3F98"/>
    <w:rsid w:val="007A714C"/>
    <w:rsid w:val="007A7E0E"/>
    <w:rsid w:val="007A7EFD"/>
    <w:rsid w:val="007B0285"/>
    <w:rsid w:val="007B13EA"/>
    <w:rsid w:val="007C2C1F"/>
    <w:rsid w:val="007C4C5D"/>
    <w:rsid w:val="007C5C9A"/>
    <w:rsid w:val="007C5EFF"/>
    <w:rsid w:val="007E099C"/>
    <w:rsid w:val="007E27D3"/>
    <w:rsid w:val="007E5545"/>
    <w:rsid w:val="007F0AE9"/>
    <w:rsid w:val="007F1FF4"/>
    <w:rsid w:val="007F26E2"/>
    <w:rsid w:val="007F6D1C"/>
    <w:rsid w:val="00802DC3"/>
    <w:rsid w:val="00804340"/>
    <w:rsid w:val="008065A2"/>
    <w:rsid w:val="008135B9"/>
    <w:rsid w:val="0081506E"/>
    <w:rsid w:val="008178E5"/>
    <w:rsid w:val="00823DA1"/>
    <w:rsid w:val="0082466B"/>
    <w:rsid w:val="0082794E"/>
    <w:rsid w:val="00827C38"/>
    <w:rsid w:val="00830E88"/>
    <w:rsid w:val="00831AB1"/>
    <w:rsid w:val="008411A6"/>
    <w:rsid w:val="008549D2"/>
    <w:rsid w:val="0086117A"/>
    <w:rsid w:val="00861806"/>
    <w:rsid w:val="00862891"/>
    <w:rsid w:val="00862ABC"/>
    <w:rsid w:val="008708D5"/>
    <w:rsid w:val="008744E4"/>
    <w:rsid w:val="008745AD"/>
    <w:rsid w:val="008758EE"/>
    <w:rsid w:val="008776B3"/>
    <w:rsid w:val="00890801"/>
    <w:rsid w:val="008914B7"/>
    <w:rsid w:val="00895DE4"/>
    <w:rsid w:val="008966F0"/>
    <w:rsid w:val="008B2A7B"/>
    <w:rsid w:val="008C0CC2"/>
    <w:rsid w:val="008C25C8"/>
    <w:rsid w:val="008C5060"/>
    <w:rsid w:val="008C7584"/>
    <w:rsid w:val="008D4177"/>
    <w:rsid w:val="008D78D4"/>
    <w:rsid w:val="008D7D8B"/>
    <w:rsid w:val="008E2ED7"/>
    <w:rsid w:val="008F0BC7"/>
    <w:rsid w:val="009010A2"/>
    <w:rsid w:val="009031C3"/>
    <w:rsid w:val="00905F05"/>
    <w:rsid w:val="009125A8"/>
    <w:rsid w:val="00927418"/>
    <w:rsid w:val="00930583"/>
    <w:rsid w:val="00933664"/>
    <w:rsid w:val="009362FF"/>
    <w:rsid w:val="00945075"/>
    <w:rsid w:val="009457BF"/>
    <w:rsid w:val="00951576"/>
    <w:rsid w:val="00952132"/>
    <w:rsid w:val="009550DF"/>
    <w:rsid w:val="00963F05"/>
    <w:rsid w:val="00987FC8"/>
    <w:rsid w:val="009A7941"/>
    <w:rsid w:val="009B0575"/>
    <w:rsid w:val="009B297C"/>
    <w:rsid w:val="009B2FD6"/>
    <w:rsid w:val="009B504F"/>
    <w:rsid w:val="009B58F7"/>
    <w:rsid w:val="009B6889"/>
    <w:rsid w:val="009B7C9E"/>
    <w:rsid w:val="009C07EB"/>
    <w:rsid w:val="009C33D7"/>
    <w:rsid w:val="009C52E2"/>
    <w:rsid w:val="009D2371"/>
    <w:rsid w:val="009D2AE3"/>
    <w:rsid w:val="009D2D2A"/>
    <w:rsid w:val="009E1DEC"/>
    <w:rsid w:val="009E1F1B"/>
    <w:rsid w:val="009E263F"/>
    <w:rsid w:val="009E59A2"/>
    <w:rsid w:val="009F0E52"/>
    <w:rsid w:val="009F385E"/>
    <w:rsid w:val="009F5BD8"/>
    <w:rsid w:val="00A069F4"/>
    <w:rsid w:val="00A06C89"/>
    <w:rsid w:val="00A10E9E"/>
    <w:rsid w:val="00A11C67"/>
    <w:rsid w:val="00A14473"/>
    <w:rsid w:val="00A2227E"/>
    <w:rsid w:val="00A32079"/>
    <w:rsid w:val="00A367C4"/>
    <w:rsid w:val="00A40DAF"/>
    <w:rsid w:val="00A42D72"/>
    <w:rsid w:val="00A45DCC"/>
    <w:rsid w:val="00A471FB"/>
    <w:rsid w:val="00A57561"/>
    <w:rsid w:val="00A66088"/>
    <w:rsid w:val="00A7127A"/>
    <w:rsid w:val="00A7483D"/>
    <w:rsid w:val="00A757AC"/>
    <w:rsid w:val="00A802E7"/>
    <w:rsid w:val="00A81919"/>
    <w:rsid w:val="00A83640"/>
    <w:rsid w:val="00A91CF6"/>
    <w:rsid w:val="00AA5F72"/>
    <w:rsid w:val="00AB1175"/>
    <w:rsid w:val="00AB5F35"/>
    <w:rsid w:val="00AC4FDB"/>
    <w:rsid w:val="00AC68CE"/>
    <w:rsid w:val="00AC6A6E"/>
    <w:rsid w:val="00AD5255"/>
    <w:rsid w:val="00AE50B5"/>
    <w:rsid w:val="00AE63DF"/>
    <w:rsid w:val="00AF1906"/>
    <w:rsid w:val="00AF367E"/>
    <w:rsid w:val="00B07E0C"/>
    <w:rsid w:val="00B124A8"/>
    <w:rsid w:val="00B12935"/>
    <w:rsid w:val="00B1449E"/>
    <w:rsid w:val="00B147AB"/>
    <w:rsid w:val="00B31053"/>
    <w:rsid w:val="00B452DB"/>
    <w:rsid w:val="00B52D4F"/>
    <w:rsid w:val="00B538A0"/>
    <w:rsid w:val="00B539DC"/>
    <w:rsid w:val="00B55AB2"/>
    <w:rsid w:val="00B64448"/>
    <w:rsid w:val="00B71C6D"/>
    <w:rsid w:val="00B754B8"/>
    <w:rsid w:val="00B81D9C"/>
    <w:rsid w:val="00B85A77"/>
    <w:rsid w:val="00B93886"/>
    <w:rsid w:val="00B96C46"/>
    <w:rsid w:val="00B976F4"/>
    <w:rsid w:val="00BA163E"/>
    <w:rsid w:val="00BA5021"/>
    <w:rsid w:val="00BA59FF"/>
    <w:rsid w:val="00BB00E3"/>
    <w:rsid w:val="00BB67D6"/>
    <w:rsid w:val="00BC0D83"/>
    <w:rsid w:val="00BC0EF3"/>
    <w:rsid w:val="00BC4C81"/>
    <w:rsid w:val="00BC5A66"/>
    <w:rsid w:val="00BC7F10"/>
    <w:rsid w:val="00BD180E"/>
    <w:rsid w:val="00BD1CDB"/>
    <w:rsid w:val="00BD2889"/>
    <w:rsid w:val="00BD6B8D"/>
    <w:rsid w:val="00BE5C8D"/>
    <w:rsid w:val="00BE64BF"/>
    <w:rsid w:val="00BF70CD"/>
    <w:rsid w:val="00C01766"/>
    <w:rsid w:val="00C077E8"/>
    <w:rsid w:val="00C10D54"/>
    <w:rsid w:val="00C1362B"/>
    <w:rsid w:val="00C14693"/>
    <w:rsid w:val="00C17BE7"/>
    <w:rsid w:val="00C25E55"/>
    <w:rsid w:val="00C3294A"/>
    <w:rsid w:val="00C338C1"/>
    <w:rsid w:val="00C37189"/>
    <w:rsid w:val="00C37BEF"/>
    <w:rsid w:val="00C459B4"/>
    <w:rsid w:val="00C47FF3"/>
    <w:rsid w:val="00C501FB"/>
    <w:rsid w:val="00C523B8"/>
    <w:rsid w:val="00C5470A"/>
    <w:rsid w:val="00C55240"/>
    <w:rsid w:val="00C6229A"/>
    <w:rsid w:val="00C64588"/>
    <w:rsid w:val="00C67AD8"/>
    <w:rsid w:val="00C72A15"/>
    <w:rsid w:val="00C73B23"/>
    <w:rsid w:val="00C740E7"/>
    <w:rsid w:val="00C75EFB"/>
    <w:rsid w:val="00C7659B"/>
    <w:rsid w:val="00CA478A"/>
    <w:rsid w:val="00CA4CE9"/>
    <w:rsid w:val="00CA76D0"/>
    <w:rsid w:val="00CB3C4B"/>
    <w:rsid w:val="00CB4D23"/>
    <w:rsid w:val="00CB5D3F"/>
    <w:rsid w:val="00CC67B1"/>
    <w:rsid w:val="00CC79CB"/>
    <w:rsid w:val="00CD54F4"/>
    <w:rsid w:val="00CE2097"/>
    <w:rsid w:val="00CE2985"/>
    <w:rsid w:val="00CE75AB"/>
    <w:rsid w:val="00CE7977"/>
    <w:rsid w:val="00CF0764"/>
    <w:rsid w:val="00CF2439"/>
    <w:rsid w:val="00D04D39"/>
    <w:rsid w:val="00D07073"/>
    <w:rsid w:val="00D127E2"/>
    <w:rsid w:val="00D2317F"/>
    <w:rsid w:val="00D25EB7"/>
    <w:rsid w:val="00D32B41"/>
    <w:rsid w:val="00D4613B"/>
    <w:rsid w:val="00D54CCD"/>
    <w:rsid w:val="00D5645C"/>
    <w:rsid w:val="00D57FD6"/>
    <w:rsid w:val="00D60264"/>
    <w:rsid w:val="00D67E70"/>
    <w:rsid w:val="00D70518"/>
    <w:rsid w:val="00D7342E"/>
    <w:rsid w:val="00D75361"/>
    <w:rsid w:val="00D84449"/>
    <w:rsid w:val="00D91BCC"/>
    <w:rsid w:val="00D94D38"/>
    <w:rsid w:val="00D94F46"/>
    <w:rsid w:val="00D96543"/>
    <w:rsid w:val="00D97D45"/>
    <w:rsid w:val="00DA30C0"/>
    <w:rsid w:val="00DA3691"/>
    <w:rsid w:val="00DA6578"/>
    <w:rsid w:val="00DB29E3"/>
    <w:rsid w:val="00DB7087"/>
    <w:rsid w:val="00DC4C53"/>
    <w:rsid w:val="00DC4E5A"/>
    <w:rsid w:val="00DD08BD"/>
    <w:rsid w:val="00DD2504"/>
    <w:rsid w:val="00DD434C"/>
    <w:rsid w:val="00DD6B41"/>
    <w:rsid w:val="00DE6A6A"/>
    <w:rsid w:val="00DE7ADE"/>
    <w:rsid w:val="00DF3A50"/>
    <w:rsid w:val="00DF3E4D"/>
    <w:rsid w:val="00DF5872"/>
    <w:rsid w:val="00DF6B0D"/>
    <w:rsid w:val="00E003A2"/>
    <w:rsid w:val="00E00F93"/>
    <w:rsid w:val="00E03D39"/>
    <w:rsid w:val="00E121EE"/>
    <w:rsid w:val="00E14AAC"/>
    <w:rsid w:val="00E25DAD"/>
    <w:rsid w:val="00E30B0F"/>
    <w:rsid w:val="00E357F5"/>
    <w:rsid w:val="00E374C2"/>
    <w:rsid w:val="00E41273"/>
    <w:rsid w:val="00E4647A"/>
    <w:rsid w:val="00E61C7E"/>
    <w:rsid w:val="00E673C7"/>
    <w:rsid w:val="00E675C4"/>
    <w:rsid w:val="00E67F43"/>
    <w:rsid w:val="00E75D75"/>
    <w:rsid w:val="00E81E62"/>
    <w:rsid w:val="00E84E3C"/>
    <w:rsid w:val="00E868A4"/>
    <w:rsid w:val="00E932A5"/>
    <w:rsid w:val="00E97DFB"/>
    <w:rsid w:val="00EA0AE4"/>
    <w:rsid w:val="00EB0C65"/>
    <w:rsid w:val="00EB34B8"/>
    <w:rsid w:val="00EB45B9"/>
    <w:rsid w:val="00EB646A"/>
    <w:rsid w:val="00EC0AE5"/>
    <w:rsid w:val="00EC0ED8"/>
    <w:rsid w:val="00EE36C6"/>
    <w:rsid w:val="00EE47B1"/>
    <w:rsid w:val="00EE599D"/>
    <w:rsid w:val="00EF437B"/>
    <w:rsid w:val="00F039A2"/>
    <w:rsid w:val="00F03E35"/>
    <w:rsid w:val="00F05A56"/>
    <w:rsid w:val="00F109F8"/>
    <w:rsid w:val="00F11CA6"/>
    <w:rsid w:val="00F22354"/>
    <w:rsid w:val="00F22716"/>
    <w:rsid w:val="00F23E84"/>
    <w:rsid w:val="00F36244"/>
    <w:rsid w:val="00F46F53"/>
    <w:rsid w:val="00F50AE6"/>
    <w:rsid w:val="00F56F63"/>
    <w:rsid w:val="00F63B74"/>
    <w:rsid w:val="00F647D4"/>
    <w:rsid w:val="00F7032F"/>
    <w:rsid w:val="00F7407D"/>
    <w:rsid w:val="00F7734E"/>
    <w:rsid w:val="00F8598B"/>
    <w:rsid w:val="00F90A7A"/>
    <w:rsid w:val="00F9670D"/>
    <w:rsid w:val="00FA33E0"/>
    <w:rsid w:val="00FA37CB"/>
    <w:rsid w:val="00FB0500"/>
    <w:rsid w:val="00FB0C49"/>
    <w:rsid w:val="00FB1C0E"/>
    <w:rsid w:val="00FB757E"/>
    <w:rsid w:val="00FC5386"/>
    <w:rsid w:val="00FC5DA6"/>
    <w:rsid w:val="00FC6AE7"/>
    <w:rsid w:val="00FE2785"/>
    <w:rsid w:val="00FF2AC5"/>
    <w:rsid w:val="00FF58E9"/>
    <w:rsid w:val="00FF6BD8"/>
    <w:rsid w:val="00FF6FBC"/>
    <w:rsid w:val="02788D2E"/>
    <w:rsid w:val="02890A85"/>
    <w:rsid w:val="0C9F87B8"/>
    <w:rsid w:val="0D520086"/>
    <w:rsid w:val="0E6CE62A"/>
    <w:rsid w:val="10817CBA"/>
    <w:rsid w:val="185F60B4"/>
    <w:rsid w:val="18876064"/>
    <w:rsid w:val="18BB3828"/>
    <w:rsid w:val="2BB4840F"/>
    <w:rsid w:val="3DD2CC3B"/>
    <w:rsid w:val="3FCBD0A6"/>
    <w:rsid w:val="40BE6502"/>
    <w:rsid w:val="43ECF1FA"/>
    <w:rsid w:val="46221458"/>
    <w:rsid w:val="4757D419"/>
    <w:rsid w:val="48FB566F"/>
    <w:rsid w:val="4B1E3AFA"/>
    <w:rsid w:val="51D44DD7"/>
    <w:rsid w:val="62AC257F"/>
    <w:rsid w:val="6403FE5D"/>
    <w:rsid w:val="67CB08F5"/>
    <w:rsid w:val="69316B50"/>
    <w:rsid w:val="6A1BD85B"/>
    <w:rsid w:val="6EE1A421"/>
    <w:rsid w:val="71E11EE3"/>
    <w:rsid w:val="764D28A8"/>
    <w:rsid w:val="77B4DBE6"/>
    <w:rsid w:val="7BA1474B"/>
    <w:rsid w:val="7D376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338257F8-4259-48DF-AF2F-990A21FD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59"/>
    <w:qFormat/>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4768A4"/>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3A429155-5C2E-4FFD-A7B8-0946FE21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973</Words>
  <Characters>5549</Characters>
  <Application>Microsoft Office Word</Application>
  <DocSecurity>0</DocSecurity>
  <Lines>46</Lines>
  <Paragraphs>13</Paragraphs>
  <ScaleCrop>false</ScaleCrop>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9</cp:revision>
  <dcterms:created xsi:type="dcterms:W3CDTF">2024-10-04T03:40:00Z</dcterms:created>
  <dcterms:modified xsi:type="dcterms:W3CDTF">2024-11-08T04:14:00Z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